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B6" w:rsidRDefault="002116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16B6" w:rsidRDefault="002116B6">
      <w:pPr>
        <w:pStyle w:val="ConsPlusNormal"/>
        <w:outlineLvl w:val="0"/>
      </w:pPr>
    </w:p>
    <w:p w:rsidR="002116B6" w:rsidRDefault="002116B6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2116B6" w:rsidRDefault="002116B6">
      <w:pPr>
        <w:pStyle w:val="ConsPlusTitle"/>
        <w:jc w:val="center"/>
      </w:pPr>
      <w:r>
        <w:t>ГОРОДСКОГО ОКРУГА "СЫКТЫВКАР"</w:t>
      </w:r>
    </w:p>
    <w:p w:rsidR="002116B6" w:rsidRDefault="002116B6">
      <w:pPr>
        <w:pStyle w:val="ConsPlusTitle"/>
      </w:pPr>
    </w:p>
    <w:p w:rsidR="002116B6" w:rsidRDefault="002116B6">
      <w:pPr>
        <w:pStyle w:val="ConsPlusTitle"/>
        <w:jc w:val="center"/>
      </w:pPr>
      <w:r>
        <w:t>ПОСТАНОВЛЕНИЕ</w:t>
      </w:r>
    </w:p>
    <w:p w:rsidR="002116B6" w:rsidRDefault="002116B6">
      <w:pPr>
        <w:pStyle w:val="ConsPlusTitle"/>
        <w:jc w:val="center"/>
      </w:pPr>
      <w:r>
        <w:t>от 26 марта 2020 г. N 3/783</w:t>
      </w:r>
    </w:p>
    <w:p w:rsidR="002116B6" w:rsidRDefault="002116B6">
      <w:pPr>
        <w:pStyle w:val="ConsPlusTitle"/>
      </w:pPr>
    </w:p>
    <w:p w:rsidR="002116B6" w:rsidRDefault="002116B6">
      <w:pPr>
        <w:pStyle w:val="ConsPlusTitle"/>
        <w:jc w:val="center"/>
      </w:pPr>
      <w:r>
        <w:t>ОБ УТВЕРЖДЕНИИ ПОЛОЖЕНИЯ О ГОРОДСКОМ КОНКУРСЕ</w:t>
      </w:r>
    </w:p>
    <w:p w:rsidR="002116B6" w:rsidRDefault="002116B6">
      <w:pPr>
        <w:pStyle w:val="ConsPlusTitle"/>
        <w:jc w:val="center"/>
      </w:pPr>
      <w:r>
        <w:t>ДЕТСКОГО РИСУНКА "ВОДА ОШИБОК НЕ ПРОЩАЕТ!"</w:t>
      </w:r>
    </w:p>
    <w:p w:rsidR="002116B6" w:rsidRDefault="002116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116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6B6" w:rsidRDefault="002116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6B6" w:rsidRDefault="002116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16B6" w:rsidRDefault="00211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6B6" w:rsidRDefault="002116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"Сыктывкар"</w:t>
            </w:r>
            <w:proofErr w:type="gramEnd"/>
          </w:p>
          <w:p w:rsidR="002116B6" w:rsidRDefault="002116B6">
            <w:pPr>
              <w:pStyle w:val="ConsPlusNormal"/>
              <w:jc w:val="center"/>
            </w:pPr>
            <w:r>
              <w:rPr>
                <w:color w:val="392C69"/>
              </w:rPr>
              <w:t>от 03.03.2022 N 3/569)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6B6" w:rsidRDefault="002116B6">
            <w:pPr>
              <w:spacing w:after="1" w:line="0" w:lineRule="atLeast"/>
            </w:pPr>
          </w:p>
        </w:tc>
      </w:tr>
    </w:tbl>
    <w:p w:rsidR="002116B6" w:rsidRDefault="002116B6">
      <w:pPr>
        <w:pStyle w:val="ConsPlusNormal"/>
      </w:pPr>
    </w:p>
    <w:p w:rsidR="002116B6" w:rsidRDefault="002116B6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ст. 44</w:t>
        </w:r>
      </w:hyperlink>
      <w:r>
        <w:t xml:space="preserve"> Устава МО ГО "Сыктывкар", в целях формирования общественного сознания и гражданской позиции подрастающего поколения в области охраны жизни и здоровья людей на водных объектах администрация МО ГО "Сыктывкар" постановляет: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 Провести в муниципальном образовании городского округа "Сыктывкар" городской конкурс детского рисунка "Вода ошибок не прощает" в соответствии с Планом общегородских мероприятий МО ГО "Сыктывкар"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год.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городском конкурсе детского рисунка "Вода ошибок не прощает!" согласно приложению к настоящему постановлению.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МО ГО "Сыктывкар" от 10.04.2018 N 4/996 "Об утверждении положения о ежегодном городском конкурсе детского рисунка "Вода ошибок не прощает!" признать утратившим силу.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принятия.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по делам ГО и ЧС г. Сыктывкара Атаманюка О.З.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  <w:jc w:val="right"/>
      </w:pPr>
      <w:r>
        <w:t>Глава МО ГО "Сыктывкар" -</w:t>
      </w:r>
    </w:p>
    <w:p w:rsidR="002116B6" w:rsidRDefault="002116B6">
      <w:pPr>
        <w:pStyle w:val="ConsPlusNormal"/>
        <w:jc w:val="right"/>
      </w:pPr>
      <w:r>
        <w:t>руководитель администрации</w:t>
      </w:r>
    </w:p>
    <w:p w:rsidR="002116B6" w:rsidRDefault="002116B6">
      <w:pPr>
        <w:pStyle w:val="ConsPlusNormal"/>
        <w:jc w:val="right"/>
      </w:pPr>
      <w:r>
        <w:t>Н.ХОЗЯИНОВА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  <w:jc w:val="right"/>
        <w:outlineLvl w:val="0"/>
      </w:pPr>
      <w:r>
        <w:t>Приложение</w:t>
      </w:r>
    </w:p>
    <w:p w:rsidR="002116B6" w:rsidRDefault="002116B6">
      <w:pPr>
        <w:pStyle w:val="ConsPlusNormal"/>
        <w:jc w:val="right"/>
      </w:pPr>
      <w:r>
        <w:t>к Постановлению</w:t>
      </w:r>
    </w:p>
    <w:p w:rsidR="002116B6" w:rsidRDefault="002116B6">
      <w:pPr>
        <w:pStyle w:val="ConsPlusNormal"/>
        <w:jc w:val="right"/>
      </w:pPr>
      <w:r>
        <w:t>администрации МО ГО "Сыктывкар"</w:t>
      </w:r>
    </w:p>
    <w:p w:rsidR="002116B6" w:rsidRDefault="002116B6">
      <w:pPr>
        <w:pStyle w:val="ConsPlusNormal"/>
        <w:jc w:val="right"/>
      </w:pPr>
      <w:r>
        <w:t>от 26 марта 2020 г. N 3/783</w:t>
      </w:r>
    </w:p>
    <w:p w:rsidR="002116B6" w:rsidRDefault="002116B6">
      <w:pPr>
        <w:pStyle w:val="ConsPlusNormal"/>
      </w:pPr>
    </w:p>
    <w:p w:rsidR="002116B6" w:rsidRDefault="002116B6">
      <w:pPr>
        <w:pStyle w:val="ConsPlusTitle"/>
        <w:jc w:val="center"/>
      </w:pPr>
      <w:bookmarkStart w:id="0" w:name="P33"/>
      <w:bookmarkEnd w:id="0"/>
      <w:r>
        <w:t>ПОЛОЖЕНИЕ</w:t>
      </w:r>
    </w:p>
    <w:p w:rsidR="002116B6" w:rsidRDefault="002116B6">
      <w:pPr>
        <w:pStyle w:val="ConsPlusTitle"/>
        <w:jc w:val="center"/>
      </w:pPr>
      <w:r>
        <w:t>О ГОРОДСКОМ КОНКУРСЕ ДЕТСКОГО РИСУНКА</w:t>
      </w:r>
    </w:p>
    <w:p w:rsidR="002116B6" w:rsidRDefault="002116B6">
      <w:pPr>
        <w:pStyle w:val="ConsPlusTitle"/>
        <w:jc w:val="center"/>
      </w:pPr>
      <w:r>
        <w:t>"ВОДА ОШИБОК НЕ ПРОЩАЕТ!"</w:t>
      </w:r>
    </w:p>
    <w:p w:rsidR="002116B6" w:rsidRDefault="002116B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116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6B6" w:rsidRDefault="002116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6B6" w:rsidRDefault="002116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16B6" w:rsidRDefault="002116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6B6" w:rsidRDefault="002116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"Сыктывкар"</w:t>
            </w:r>
            <w:proofErr w:type="gramEnd"/>
          </w:p>
          <w:p w:rsidR="002116B6" w:rsidRDefault="002116B6">
            <w:pPr>
              <w:pStyle w:val="ConsPlusNormal"/>
              <w:jc w:val="center"/>
            </w:pPr>
            <w:r>
              <w:rPr>
                <w:color w:val="392C69"/>
              </w:rPr>
              <w:t>от 03.03.2022 N 3/569)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6B6" w:rsidRDefault="002116B6">
            <w:pPr>
              <w:spacing w:after="1" w:line="0" w:lineRule="atLeast"/>
            </w:pPr>
          </w:p>
        </w:tc>
      </w:tr>
    </w:tbl>
    <w:p w:rsidR="002116B6" w:rsidRDefault="002116B6">
      <w:pPr>
        <w:pStyle w:val="ConsPlusNormal"/>
      </w:pPr>
    </w:p>
    <w:p w:rsidR="002116B6" w:rsidRDefault="002116B6">
      <w:pPr>
        <w:pStyle w:val="ConsPlusNormal"/>
        <w:ind w:firstLine="540"/>
        <w:jc w:val="both"/>
      </w:pPr>
      <w:r>
        <w:t>Настоящее Положение определяет статус, цели и задачи городского конкурса детского рисунка "Вода ошибок не прощает!" (далее - Конкурс).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Конкурс проводится в рамках реализации плана общегородских мероприятий.</w:t>
      </w:r>
    </w:p>
    <w:p w:rsidR="002116B6" w:rsidRDefault="002116B6">
      <w:pPr>
        <w:pStyle w:val="ConsPlusNormal"/>
      </w:pPr>
    </w:p>
    <w:p w:rsidR="002116B6" w:rsidRDefault="002116B6">
      <w:pPr>
        <w:pStyle w:val="ConsPlusTitle"/>
        <w:jc w:val="center"/>
        <w:outlineLvl w:val="1"/>
      </w:pPr>
      <w:r>
        <w:t>1. Общие положения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  <w:ind w:firstLine="540"/>
        <w:jc w:val="both"/>
      </w:pPr>
      <w:r>
        <w:t>1.1. Организатором Конкурса является Управление по делам гражданской обороны, чрезвычайным ситуациям и пожарной безопасности администрации муниципального образования городского округа "Сыктывкар" (далее - Управление по делам ГО и ЧС г. Сыктывкара).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1.2. Организатор Конкурса исполняет следующие функции: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осуществляет сбор конкурсных работ от представителей участников;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обеспечивает равные условия для всех участников Конкурса;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обеспечивает гласность проведения Конкурса;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организует награждение победителей Конкурса.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1.3. Представителями участников являются Управление образования, Управление дошкольного образования, Управление культуры администрации МО ГО "Сыктывкар" (далее - Представители).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1.4. Представители участников исполняют следующие функции: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осуществляют сбор конкурсных работ от подведомственных учреждений;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осуществляют доставку конкурсных работ в Управление по делам ГО и ЧС г. Сыктывкара по адресу: ул. Бабушкина, д. 22, каб. 417;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направляют представителей в конкурсную комиссию.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1.5. Цель Конкурса: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формирование общественного сознания и гражданской позиции подрастающего поколения в области охраны жизни и здоровья людей на водных объектах.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1.6. Задачи Конкурса: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предупреждение несчастных случаев (гибели и травматизма) на воде и льду, возникающих по причине несоблюдения правил безопасности детьми и взрослыми;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привитие детям и подросткам основ безопасного поведения, здорового образа жизни;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пропаганда и демонстрация работ участников Конкурса в области обеспечения безопасности людей на водоемах;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 xml:space="preserve">- стимулирование творческой инициативы детей и подростков в изобразительной </w:t>
      </w:r>
      <w:r>
        <w:lastRenderedPageBreak/>
        <w:t>деятельности.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1.7. Конкурс проводится в период с апреля по май на территории МО ГО "Сыктывкар".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1.8. Для участия в Конкурсе необходимо подготовить работу, соответствующую теме и задачам Конкурса, и в установленные сроки направить Представителям. От каждого участника Конкурса может быть представлено по одной конкурсной работе в каждой номинации по каждой возрастной группе.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1.9. Итоги Конкурса объявляются не позднее 10 июня текущего года.</w:t>
      </w:r>
    </w:p>
    <w:p w:rsidR="002116B6" w:rsidRDefault="002116B6">
      <w:pPr>
        <w:pStyle w:val="ConsPlusNormal"/>
        <w:jc w:val="both"/>
      </w:pPr>
      <w:r>
        <w:t xml:space="preserve">(п. 1.9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03.03.2022 N 3/569)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1.10. Награждение победителей Конкурса происходит на церемонии награждения, информация о времени и месте проведения которой сообщается победителям Конкурса по электронной почте, телефону или другим координатам, указанным участником Конкурса на этикетке к работе.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1.11. Работы участникам Конкурса после завершения Конкурса не возвращаются. Организатор оставляет за собой право использовать работы для оформления выставок и иных носителей с обязательным указанием авторства.</w:t>
      </w:r>
    </w:p>
    <w:p w:rsidR="002116B6" w:rsidRDefault="002116B6">
      <w:pPr>
        <w:pStyle w:val="ConsPlusNormal"/>
      </w:pPr>
    </w:p>
    <w:p w:rsidR="002116B6" w:rsidRDefault="002116B6">
      <w:pPr>
        <w:pStyle w:val="ConsPlusTitle"/>
        <w:jc w:val="center"/>
        <w:outlineLvl w:val="1"/>
      </w:pPr>
      <w:r>
        <w:t>2. Требования к работам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  <w:ind w:firstLine="540"/>
        <w:jc w:val="both"/>
      </w:pPr>
      <w:r>
        <w:t>2.1. Работы выполняются на листах формата А</w:t>
      </w:r>
      <w:proofErr w:type="gramStart"/>
      <w:r>
        <w:t>4</w:t>
      </w:r>
      <w:proofErr w:type="gramEnd"/>
      <w:r>
        <w:t xml:space="preserve"> (210 x 297 мм) или А3 (297 x 420 мм).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2.2. Работы на Конкурс предоставляются по возрастным группам и номинациям.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2.2.1. Возрастные группы: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до 10 лет;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- 10 - 17 лет.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2.2.2. Номинация: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рисунки выполняются с использованием различных техник и материалов (карандаш, пастель, акварель, гуашь и др.).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 xml:space="preserve">2.3. Все работы должны иметь 2 этикетки согласно </w:t>
      </w:r>
      <w:hyperlink w:anchor="P132" w:history="1">
        <w:r>
          <w:rPr>
            <w:color w:val="0000FF"/>
          </w:rPr>
          <w:t>Приложению</w:t>
        </w:r>
      </w:hyperlink>
      <w:r>
        <w:t xml:space="preserve"> к настоящему Положению, прикрепленные с обеих сторон работы.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Этикетка крепится на лицевой стороне работы в нижнем левом углу прозрачным скотчем.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2.4. Работа должна быть оформлена в рамке из плотной бумаги.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2.5. Работы, не соответствующие настоящим требованиям, а также коллективные работы к участию в Конкурсе не допускаются.</w:t>
      </w:r>
    </w:p>
    <w:p w:rsidR="002116B6" w:rsidRDefault="002116B6">
      <w:pPr>
        <w:pStyle w:val="ConsPlusNormal"/>
      </w:pPr>
    </w:p>
    <w:p w:rsidR="002116B6" w:rsidRDefault="002116B6">
      <w:pPr>
        <w:pStyle w:val="ConsPlusTitle"/>
        <w:jc w:val="center"/>
        <w:outlineLvl w:val="1"/>
      </w:pPr>
      <w:r>
        <w:t>3. Участники Конкурса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  <w:ind w:firstLine="540"/>
        <w:jc w:val="both"/>
      </w:pPr>
      <w:r>
        <w:t>3.1. Участниками Конкурса являются: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3.1.1. Дошкольные образовательные учреждения, общеобразовательные учреждения, учреждения дополнительного образования, учреждения культуры. От каждого учреждения может быть представлено по одной конкурсной работе в каждой номинации по каждой возрастной группе.</w:t>
      </w:r>
    </w:p>
    <w:p w:rsidR="002116B6" w:rsidRDefault="002116B6">
      <w:pPr>
        <w:pStyle w:val="ConsPlusNormal"/>
      </w:pPr>
    </w:p>
    <w:p w:rsidR="002116B6" w:rsidRDefault="002116B6">
      <w:pPr>
        <w:pStyle w:val="ConsPlusTitle"/>
        <w:jc w:val="center"/>
        <w:outlineLvl w:val="1"/>
      </w:pPr>
      <w:r>
        <w:t>4. Конкурсная комиссия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  <w:ind w:firstLine="540"/>
        <w:jc w:val="both"/>
      </w:pPr>
      <w:r>
        <w:t>4.1. Конкурс проводится Конкурсной комиссией, назначаемой распоряжением главы администрации МО ГО "Сыктывкар", в следующем составе: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председатель комиссии (начальник управления по делам ГО и ЧС г. Сыктывкара);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члены комиссии: представители отраслевых (функциональных) органов администрации МО ГО "Сыктывкар"; представители учреждений, принимающих участие в Конкурсе (по согласованию).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4.2. Конкурсная комиссия осуществляет следующие функции: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осуществляет оценку работ, представленных на Конкурс;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определяет победителей Конкурса по каждой возрастной группе в каждой номинации;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определяет участников, принявших активное участие в Конкурсе.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4.3. При осуществлении своих функций Конкурсная комиссия руководствуется требованиями настоящего Положения.</w:t>
      </w:r>
    </w:p>
    <w:p w:rsidR="002116B6" w:rsidRDefault="002116B6">
      <w:pPr>
        <w:pStyle w:val="ConsPlusNormal"/>
      </w:pPr>
    </w:p>
    <w:p w:rsidR="002116B6" w:rsidRDefault="002116B6">
      <w:pPr>
        <w:pStyle w:val="ConsPlusTitle"/>
        <w:jc w:val="center"/>
        <w:outlineLvl w:val="1"/>
      </w:pPr>
      <w:r>
        <w:t>5. Порядок подведения итогов Конкурса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  <w:ind w:firstLine="540"/>
        <w:jc w:val="both"/>
      </w:pPr>
      <w:r>
        <w:t>5.1. Для каждой возрастной группы в номинации устанавливаются 3 победителя Конкурса (1, 2, 3 место).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5.2. Критерии оценки работ: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качество исполнения;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соответствие представленных работ теме и задачам Конкурса;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воспитательная ценность работы;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эмоциональное воздействие;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оригинальность идеи;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художественность работы;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проявление фантазии и творческого начала;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содержание призыва, побуждения, предупреждения, то есть наличие агитационной, пропагандистской нагрузки. Запрещается пропаганда экстремизма и насилия;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наличие слогана (короткой, емкой, запоминающейся фразы или словосочетания) на фоне рисунка.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5.2.1. Критерии определения участников, принявших активное участие в Конкурсе: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предоставление на Конкурс не менее двух работ;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предоставление работ в каждой номинации Конкурса;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- представленные работы должны соответствовать целям и задачам Конкурса, а также требованиям к оформлению.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lastRenderedPageBreak/>
        <w:t>5.3. Конкурсная комиссия в рамках призового фонда, предназначенного на очередной финансовый год для проведения Конкурса, вправе устанавливать дополнительные номинации Конкурса.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5.4. Подведение итогов Конкурса оформляется протоколом Конкурсной комиссии.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Решением комиссии, по итогам Конкурса, лучшие работы могут размещаться на выставке детских рисунков в учреждении, имеющем выставочные залы. На постоянной основе выставка работает по ул. Космонавтов, д. 10 в помещении курсов гражданской обороны управления по делам ГО и ЧС г. Сыктывкара.</w:t>
      </w:r>
    </w:p>
    <w:p w:rsidR="002116B6" w:rsidRDefault="002116B6">
      <w:pPr>
        <w:pStyle w:val="ConsPlusNormal"/>
      </w:pPr>
    </w:p>
    <w:p w:rsidR="002116B6" w:rsidRDefault="002116B6">
      <w:pPr>
        <w:pStyle w:val="ConsPlusTitle"/>
        <w:jc w:val="center"/>
        <w:outlineLvl w:val="1"/>
      </w:pPr>
      <w:r>
        <w:t>6. Порядок награждения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  <w:ind w:firstLine="540"/>
        <w:jc w:val="both"/>
      </w:pPr>
      <w:r>
        <w:t>6.1. По итогам Конкурса награждаются: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6.1.1. Победители конкурса детского рисунка "Вода ошибок не прощает!" дипломами и ценными подарками;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6.1.2. Участники, принявшие активное участие в конкурсе детского рисунка "Вода ошибок не прощает!", благодарностями Управления по делам ГО и ЧС г. Сыктывкара.</w:t>
      </w:r>
    </w:p>
    <w:p w:rsidR="002116B6" w:rsidRDefault="002116B6">
      <w:pPr>
        <w:pStyle w:val="ConsPlusNormal"/>
        <w:spacing w:before="220"/>
        <w:ind w:firstLine="540"/>
        <w:jc w:val="both"/>
      </w:pPr>
      <w:r>
        <w:t>6.2. Награждение производится за счет и в пределах средств бюджета МО ГО "Сыктывкар", предусмотренных на проведение общегородских мероприятий на соответствующий финансовый год.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  <w:jc w:val="right"/>
        <w:outlineLvl w:val="1"/>
      </w:pPr>
      <w:bookmarkStart w:id="1" w:name="P132"/>
      <w:bookmarkEnd w:id="1"/>
      <w:r>
        <w:t>Приложение</w:t>
      </w:r>
    </w:p>
    <w:p w:rsidR="002116B6" w:rsidRDefault="002116B6">
      <w:pPr>
        <w:pStyle w:val="ConsPlusNormal"/>
        <w:jc w:val="right"/>
      </w:pPr>
      <w:r>
        <w:t>к Положению</w:t>
      </w:r>
    </w:p>
    <w:p w:rsidR="002116B6" w:rsidRDefault="002116B6">
      <w:pPr>
        <w:pStyle w:val="ConsPlusNormal"/>
        <w:jc w:val="right"/>
      </w:pPr>
      <w:r>
        <w:t>о городском конкурсе</w:t>
      </w:r>
    </w:p>
    <w:p w:rsidR="002116B6" w:rsidRDefault="002116B6">
      <w:pPr>
        <w:pStyle w:val="ConsPlusNormal"/>
        <w:jc w:val="right"/>
      </w:pPr>
      <w:r>
        <w:t>детского рисунка</w:t>
      </w:r>
    </w:p>
    <w:p w:rsidR="002116B6" w:rsidRDefault="002116B6">
      <w:pPr>
        <w:pStyle w:val="ConsPlusNormal"/>
        <w:jc w:val="right"/>
      </w:pPr>
      <w:r>
        <w:t>"Вода ошибок не прощает!"</w:t>
      </w:r>
    </w:p>
    <w:p w:rsidR="002116B6" w:rsidRDefault="002116B6">
      <w:pPr>
        <w:pStyle w:val="ConsPlusNormal"/>
      </w:pPr>
    </w:p>
    <w:p w:rsidR="002116B6" w:rsidRDefault="002116B6">
      <w:pPr>
        <w:pStyle w:val="ConsPlusNormal"/>
        <w:jc w:val="right"/>
      </w:pPr>
      <w:r>
        <w:t>(Этикетка с лицевой стороны работы)</w:t>
      </w:r>
    </w:p>
    <w:p w:rsidR="002116B6" w:rsidRDefault="002116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6"/>
        <w:gridCol w:w="2948"/>
      </w:tblGrid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Фамилия, имя, отчество (при наличии) автора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Год рождения (полных лет)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Название работы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Техника исполнения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Наименование образовательного учреждения (название студии), класс (группа)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Фамилия, имя, отчество (при наличии) руководителя (полностью), должность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</w:tbl>
    <w:p w:rsidR="002116B6" w:rsidRDefault="002116B6">
      <w:pPr>
        <w:pStyle w:val="ConsPlusNormal"/>
      </w:pPr>
    </w:p>
    <w:p w:rsidR="002116B6" w:rsidRDefault="002116B6">
      <w:pPr>
        <w:pStyle w:val="ConsPlusNormal"/>
        <w:jc w:val="right"/>
      </w:pPr>
      <w:r>
        <w:t>(Этикетка с обратной стороны работы)</w:t>
      </w:r>
    </w:p>
    <w:p w:rsidR="002116B6" w:rsidRDefault="002116B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6"/>
        <w:gridCol w:w="2948"/>
      </w:tblGrid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Фамилия, имя, отчество (при наличии) автора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lastRenderedPageBreak/>
              <w:t>Год рождения (полных лет)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Название работы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Техника исполнения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Наименование образовательного учреждения (название студии), класс (группа)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Фамилия, имя, отчество (при наличии) руководителя (полностью), должность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  <w:tr w:rsidR="002116B6">
        <w:tc>
          <w:tcPr>
            <w:tcW w:w="6096" w:type="dxa"/>
          </w:tcPr>
          <w:p w:rsidR="002116B6" w:rsidRDefault="002116B6">
            <w:pPr>
              <w:pStyle w:val="ConsPlusNormal"/>
              <w:jc w:val="both"/>
            </w:pPr>
            <w:r>
              <w:t>Телефон для связи</w:t>
            </w:r>
          </w:p>
        </w:tc>
        <w:tc>
          <w:tcPr>
            <w:tcW w:w="2948" w:type="dxa"/>
          </w:tcPr>
          <w:p w:rsidR="002116B6" w:rsidRDefault="002116B6">
            <w:pPr>
              <w:pStyle w:val="ConsPlusNormal"/>
            </w:pPr>
          </w:p>
        </w:tc>
      </w:tr>
    </w:tbl>
    <w:p w:rsidR="002116B6" w:rsidRDefault="002116B6">
      <w:pPr>
        <w:pStyle w:val="ConsPlusNormal"/>
      </w:pPr>
    </w:p>
    <w:p w:rsidR="002116B6" w:rsidRDefault="002116B6">
      <w:pPr>
        <w:pStyle w:val="ConsPlusNormal"/>
      </w:pPr>
    </w:p>
    <w:p w:rsidR="002116B6" w:rsidRDefault="00211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82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16B6"/>
    <w:rsid w:val="002116B6"/>
    <w:rsid w:val="0080611A"/>
    <w:rsid w:val="00F5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17AB7372468990011A448BB2A56ED829AFB8E2BC69D98F60DECC62663EFD482907F9F2B8E1A74BC8B0D74A6333B62C7D120C2940AA11CD2A42137495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D17AB7372468990011A448BB2A56ED829AFB8E28C29B9FF203ECC62663EFD482907F9F398E4278BE8E1374A3266D3381485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17AB7372468990011A448BB2A56ED829AFB8E28C19D98F504ECC62663EFD482907F9F2B8E1A74BC8B097DA6333B62C7D120C2940AA11CD2A42137495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D17AB7372468990011A448BB2A56ED829AFB8E2BC69D98F60DECC62663EFD482907F9F2B8E1A74BC8B0D74A5333B62C7D120C2940AA11CD2A42137495A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D17AB7372468990011A448BB2A56ED829AFB8E2BC69D98F60DECC62663EFD482907F9F2B8E1A74BC8B0D74A7333B62C7D120C2940AA11CD2A42137495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2022-03-25T08:57:00Z</dcterms:created>
  <dcterms:modified xsi:type="dcterms:W3CDTF">2022-03-25T08:58:00Z</dcterms:modified>
</cp:coreProperties>
</file>